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C6352C1">
      <w:pPr>
        <w:ind w:left="-141" w:leftChars="-67" w:right="-143" w:rightChars="-68"/>
        <w:jc w:val="distribute"/>
        <w:outlineLvl w:val="0"/>
        <w:rPr>
          <w:rFonts w:ascii="方正小标宋简体" w:eastAsia="方正小标宋简体"/>
          <w:color w:val="FF0000"/>
          <w:spacing w:val="20"/>
          <w:w w:val="55"/>
          <w:sz w:val="144"/>
          <w:szCs w:val="144"/>
          <w:highlight w:val="none"/>
        </w:rPr>
      </w:pPr>
      <w:r>
        <w:rPr>
          <w:rFonts w:hint="eastAsia" w:ascii="方正小标宋简体" w:eastAsia="方正小标宋简体"/>
          <w:color w:val="FF0000"/>
          <w:spacing w:val="20"/>
          <w:w w:val="55"/>
          <w:sz w:val="144"/>
          <w:szCs w:val="144"/>
          <w:highlight w:val="none"/>
        </w:rPr>
        <w:t>滕州市医疗保障局文件</w:t>
      </w:r>
    </w:p>
    <w:p w14:paraId="51DED769">
      <w:pPr>
        <w:ind w:left="-141" w:leftChars="-67" w:right="-143" w:rightChars="-68"/>
        <w:jc w:val="center"/>
        <w:outlineLvl w:val="0"/>
        <w:rPr>
          <w:rFonts w:hint="eastAsia" w:ascii="仿宋_GB2312" w:hAnsi="仿宋_GB2312" w:eastAsia="仿宋_GB2312" w:cs="仿宋_GB2312"/>
          <w:bCs/>
          <w:sz w:val="32"/>
          <w:szCs w:val="32"/>
          <w:highlight w:val="none"/>
        </w:rPr>
      </w:pPr>
      <w:r>
        <w:rPr>
          <w:rFonts w:hint="eastAsia" w:ascii="仿宋_GB2312" w:hAnsi="仿宋_GB2312" w:eastAsia="仿宋_GB2312" w:cs="仿宋_GB2312"/>
          <w:bCs/>
          <w:sz w:val="32"/>
          <w:szCs w:val="32"/>
          <w:highlight w:val="none"/>
        </w:rPr>
        <w:t>滕医保发〔202</w:t>
      </w:r>
      <w:r>
        <w:rPr>
          <w:rFonts w:hint="eastAsia" w:ascii="仿宋_GB2312" w:hAnsi="仿宋_GB2312" w:eastAsia="仿宋_GB2312" w:cs="仿宋_GB2312"/>
          <w:bCs/>
          <w:sz w:val="32"/>
          <w:szCs w:val="32"/>
          <w:highlight w:val="none"/>
          <w:lang w:val="en-US" w:eastAsia="zh-CN"/>
        </w:rPr>
        <w:t>4</w:t>
      </w:r>
      <w:r>
        <w:rPr>
          <w:rFonts w:hint="eastAsia" w:ascii="仿宋_GB2312" w:hAnsi="仿宋_GB2312" w:eastAsia="仿宋_GB2312" w:cs="仿宋_GB2312"/>
          <w:bCs/>
          <w:sz w:val="32"/>
          <w:szCs w:val="32"/>
          <w:highlight w:val="none"/>
        </w:rPr>
        <w:t>〕</w:t>
      </w:r>
      <w:r>
        <w:rPr>
          <w:rFonts w:hint="eastAsia" w:ascii="仿宋_GB2312" w:hAnsi="仿宋_GB2312" w:eastAsia="仿宋_GB2312" w:cs="仿宋_GB2312"/>
          <w:bCs/>
          <w:sz w:val="32"/>
          <w:szCs w:val="32"/>
          <w:highlight w:val="none"/>
          <w:lang w:val="en-US" w:eastAsia="zh-CN"/>
        </w:rPr>
        <w:t>9</w:t>
      </w:r>
      <w:r>
        <w:rPr>
          <w:rFonts w:hint="eastAsia" w:ascii="仿宋_GB2312" w:hAnsi="仿宋_GB2312" w:eastAsia="仿宋_GB2312" w:cs="仿宋_GB2312"/>
          <w:bCs/>
          <w:sz w:val="32"/>
          <w:szCs w:val="32"/>
          <w:highlight w:val="none"/>
        </w:rPr>
        <w:t>号</w:t>
      </w:r>
    </w:p>
    <w:p w14:paraId="28326101">
      <w:pPr>
        <w:jc w:val="center"/>
        <w:rPr>
          <w:rFonts w:ascii="Calibri" w:hAnsi="Calibri"/>
          <w:szCs w:val="22"/>
          <w:highlight w:val="none"/>
        </w:rPr>
      </w:pPr>
      <w:r>
        <w:rPr>
          <w:highlight w:val="none"/>
        </w:rPr>
        <mc:AlternateContent>
          <mc:Choice Requires="wps">
            <w:drawing>
              <wp:anchor distT="0" distB="0" distL="114300" distR="114300" simplePos="0" relativeHeight="251659264" behindDoc="0" locked="0" layoutInCell="1" allowOverlap="1">
                <wp:simplePos x="0" y="0"/>
                <wp:positionH relativeFrom="column">
                  <wp:posOffset>-120015</wp:posOffset>
                </wp:positionH>
                <wp:positionV relativeFrom="paragraph">
                  <wp:posOffset>285115</wp:posOffset>
                </wp:positionV>
                <wp:extent cx="5615940" cy="0"/>
                <wp:effectExtent l="0" t="13970" r="3810" b="24130"/>
                <wp:wrapNone/>
                <wp:docPr id="2" name="直接连接符 2"/>
                <wp:cNvGraphicFramePr/>
                <a:graphic xmlns:a="http://schemas.openxmlformats.org/drawingml/2006/main">
                  <a:graphicData uri="http://schemas.microsoft.com/office/word/2010/wordprocessingShape">
                    <wps:wsp>
                      <wps:cNvCnPr>
                        <a:cxnSpLocks noChangeShapeType="1"/>
                      </wps:cNvCnPr>
                      <wps:spPr bwMode="auto">
                        <a:xfrm>
                          <a:off x="0" y="0"/>
                          <a:ext cx="5615940" cy="0"/>
                        </a:xfrm>
                        <a:prstGeom prst="line">
                          <a:avLst/>
                        </a:prstGeom>
                        <a:noFill/>
                        <a:ln w="28575">
                          <a:solidFill>
                            <a:srgbClr val="FF0000"/>
                          </a:solidFill>
                          <a:round/>
                        </a:ln>
                        <a:effectLst/>
                      </wps:spPr>
                      <wps:bodyPr/>
                    </wps:wsp>
                  </a:graphicData>
                </a:graphic>
              </wp:anchor>
            </w:drawing>
          </mc:Choice>
          <mc:Fallback>
            <w:pict>
              <v:line id="_x0000_s1026" o:spid="_x0000_s1026" o:spt="20" style="position:absolute;left:0pt;margin-left:-9.45pt;margin-top:22.45pt;height:0pt;width:442.2pt;z-index:251659264;mso-width-relative:page;mso-height-relative:page;" filled="f" stroked="t" coordsize="21600,21600" o:gfxdata="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Cn&#10;MV+T1wAAAAkBAAAPAAAAAAAAAAEAIAAAACIAAABkcnMvZG93bnJldi54bWxQSwECFAAUAAAACACH&#10;TuJAUZP03ewBAAC5AwAADgAAAAAAAAABACAAAAAmAQAAZHJzL2Uyb0RvYy54bWxQSwUGAAAAAAYA&#10;BgBZAQAAhAUAAAAA&#10;">
                <v:fill on="f" focussize="0,0"/>
                <v:stroke weight="2.25pt" color="#FF0000" joinstyle="round"/>
                <v:imagedata o:title=""/>
                <o:lock v:ext="edit" aspectratio="f"/>
              </v:line>
            </w:pict>
          </mc:Fallback>
        </mc:AlternateContent>
      </w:r>
    </w:p>
    <w:p w14:paraId="7214A8E6">
      <w:pPr>
        <w:widowControl/>
        <w:spacing w:line="600" w:lineRule="exact"/>
        <w:jc w:val="both"/>
        <w:rPr>
          <w:rFonts w:ascii="方正小标宋简体" w:hAnsi="宋体" w:eastAsia="方正小标宋简体"/>
          <w:bCs/>
          <w:sz w:val="44"/>
          <w:szCs w:val="44"/>
          <w:highlight w:val="none"/>
        </w:rPr>
      </w:pPr>
    </w:p>
    <w:p w14:paraId="78E3B3DA">
      <w:pPr>
        <w:pStyle w:val="2"/>
        <w:rPr>
          <w:highlight w:val="none"/>
        </w:rPr>
      </w:pPr>
    </w:p>
    <w:p w14:paraId="37DBD3B1">
      <w:pPr>
        <w:widowControl/>
        <w:spacing w:line="600" w:lineRule="exact"/>
        <w:jc w:val="center"/>
        <w:rPr>
          <w:highlight w:val="none"/>
        </w:rPr>
      </w:pPr>
      <w:bookmarkStart w:id="0" w:name="_GoBack"/>
      <w:r>
        <w:rPr>
          <w:rFonts w:hint="eastAsia" w:ascii="方正小标宋简体" w:hAnsi="宋体" w:eastAsia="方正小标宋简体"/>
          <w:bCs/>
          <w:sz w:val="44"/>
          <w:szCs w:val="44"/>
          <w:highlight w:val="none"/>
        </w:rPr>
        <w:t>关于印发《</w:t>
      </w:r>
      <w:r>
        <w:rPr>
          <w:rFonts w:hint="eastAsia" w:ascii="方正小标宋简体" w:hAnsi="宋体" w:eastAsia="方正小标宋简体"/>
          <w:bCs/>
          <w:sz w:val="44"/>
          <w:szCs w:val="44"/>
          <w:highlight w:val="none"/>
          <w:lang w:val="en-US" w:eastAsia="zh-CN"/>
        </w:rPr>
        <w:t>2024年滕州市医疗保障干部教育</w:t>
      </w:r>
      <w:r>
        <w:rPr>
          <w:rFonts w:hint="eastAsia" w:ascii="方正小标宋简体" w:hAnsi="宋体" w:eastAsia="方正小标宋简体"/>
          <w:bCs/>
          <w:sz w:val="44"/>
          <w:szCs w:val="44"/>
          <w:highlight w:val="none"/>
        </w:rPr>
        <w:t>培训</w:t>
      </w:r>
      <w:r>
        <w:rPr>
          <w:rFonts w:hint="eastAsia" w:ascii="方正小标宋简体" w:hAnsi="宋体" w:eastAsia="方正小标宋简体"/>
          <w:bCs/>
          <w:sz w:val="44"/>
          <w:szCs w:val="44"/>
          <w:highlight w:val="none"/>
          <w:lang w:val="en-US" w:eastAsia="zh-CN"/>
        </w:rPr>
        <w:t>方案</w:t>
      </w:r>
      <w:r>
        <w:rPr>
          <w:rFonts w:hint="eastAsia" w:ascii="方正小标宋简体" w:hAnsi="宋体" w:eastAsia="方正小标宋简体"/>
          <w:bCs/>
          <w:sz w:val="44"/>
          <w:szCs w:val="44"/>
          <w:highlight w:val="none"/>
        </w:rPr>
        <w:t>》的通知</w:t>
      </w:r>
    </w:p>
    <w:bookmarkEnd w:id="0"/>
    <w:p w14:paraId="62F86840">
      <w:pPr>
        <w:keepNext w:val="0"/>
        <w:keepLines w:val="0"/>
        <w:pageBreakBefore w:val="0"/>
        <w:widowControl/>
        <w:kinsoku/>
        <w:wordWrap w:val="0"/>
        <w:overflowPunct/>
        <w:topLinePunct w:val="0"/>
        <w:autoSpaceDE/>
        <w:autoSpaceDN/>
        <w:bidi w:val="0"/>
        <w:adjustRightInd/>
        <w:snapToGrid/>
        <w:spacing w:line="600" w:lineRule="exact"/>
        <w:ind w:firstLine="640" w:firstLineChars="200"/>
        <w:jc w:val="left"/>
        <w:textAlignment w:val="auto"/>
        <w:rPr>
          <w:rFonts w:ascii="仿宋_GB2312" w:hAnsi="仿宋" w:eastAsia="仿宋_GB2312" w:cs="宋体"/>
          <w:sz w:val="32"/>
          <w:szCs w:val="32"/>
          <w:highlight w:val="none"/>
        </w:rPr>
      </w:pPr>
    </w:p>
    <w:p w14:paraId="71FB072C">
      <w:pPr>
        <w:keepNext w:val="0"/>
        <w:keepLines w:val="0"/>
        <w:pageBreakBefore w:val="0"/>
        <w:widowControl/>
        <w:kinsoku/>
        <w:overflowPunct/>
        <w:topLinePunct w:val="0"/>
        <w:autoSpaceDE/>
        <w:autoSpaceDN/>
        <w:bidi w:val="0"/>
        <w:adjustRightInd/>
        <w:snapToGrid/>
        <w:spacing w:line="600" w:lineRule="exact"/>
        <w:jc w:val="left"/>
        <w:textAlignment w:val="auto"/>
        <w:rPr>
          <w:rFonts w:hint="eastAsia" w:ascii="仿宋_GB2312" w:hAnsi="仿宋" w:eastAsia="仿宋_GB2312" w:cs="宋体"/>
          <w:color w:val="auto"/>
          <w:sz w:val="32"/>
          <w:szCs w:val="32"/>
          <w:highlight w:val="none"/>
          <w:lang w:val="en-US" w:eastAsia="zh-CN"/>
        </w:rPr>
      </w:pPr>
      <w:r>
        <w:rPr>
          <w:rFonts w:hint="eastAsia" w:ascii="仿宋_GB2312" w:hAnsi="仿宋" w:eastAsia="仿宋_GB2312" w:cs="宋体"/>
          <w:color w:val="auto"/>
          <w:sz w:val="32"/>
          <w:szCs w:val="32"/>
          <w:highlight w:val="none"/>
          <w:lang w:val="en-US" w:eastAsia="zh-CN"/>
        </w:rPr>
        <w:t>机关各科室，市医疗保险事业中心、市医疗保险基金稽核中心：</w:t>
      </w:r>
    </w:p>
    <w:p w14:paraId="01C5AE08">
      <w:pPr>
        <w:keepNext w:val="0"/>
        <w:keepLines w:val="0"/>
        <w:pageBreakBefore w:val="0"/>
        <w:widowControl/>
        <w:kinsoku/>
        <w:overflowPunct/>
        <w:topLinePunct w:val="0"/>
        <w:autoSpaceDE/>
        <w:autoSpaceDN/>
        <w:bidi w:val="0"/>
        <w:adjustRightInd/>
        <w:snapToGrid/>
        <w:spacing w:line="600" w:lineRule="exact"/>
        <w:ind w:firstLine="640" w:firstLineChars="200"/>
        <w:jc w:val="left"/>
        <w:textAlignment w:val="auto"/>
        <w:rPr>
          <w:rFonts w:hint="eastAsia" w:ascii="仿宋_GB2312" w:hAnsi="仿宋" w:eastAsia="仿宋_GB2312" w:cs="宋体"/>
          <w:color w:val="auto"/>
          <w:sz w:val="32"/>
          <w:szCs w:val="32"/>
          <w:highlight w:val="none"/>
        </w:rPr>
      </w:pPr>
      <w:r>
        <w:rPr>
          <w:rFonts w:hint="eastAsia" w:ascii="仿宋_GB2312" w:hAnsi="仿宋" w:eastAsia="仿宋_GB2312" w:cs="宋体"/>
          <w:color w:val="auto"/>
          <w:sz w:val="32"/>
          <w:szCs w:val="32"/>
          <w:highlight w:val="none"/>
        </w:rPr>
        <w:t>现将《2024年滕州市医疗保障干部教育培训方案》印发给你们，请结合实际</w:t>
      </w:r>
      <w:r>
        <w:rPr>
          <w:rFonts w:hint="eastAsia" w:ascii="仿宋_GB2312" w:hAnsi="仿宋" w:eastAsia="仿宋_GB2312" w:cs="宋体"/>
          <w:color w:val="auto"/>
          <w:sz w:val="32"/>
          <w:szCs w:val="32"/>
          <w:highlight w:val="none"/>
          <w:lang w:eastAsia="zh-CN"/>
        </w:rPr>
        <w:t>，</w:t>
      </w:r>
      <w:r>
        <w:rPr>
          <w:rFonts w:hint="eastAsia" w:ascii="仿宋_GB2312" w:hAnsi="仿宋" w:eastAsia="仿宋_GB2312" w:cs="宋体"/>
          <w:color w:val="auto"/>
          <w:sz w:val="32"/>
          <w:szCs w:val="32"/>
          <w:highlight w:val="none"/>
        </w:rPr>
        <w:t>认真抓好贯彻落实。</w:t>
      </w:r>
    </w:p>
    <w:p w14:paraId="7C2B0374">
      <w:pPr>
        <w:widowControl/>
        <w:spacing w:line="600" w:lineRule="exact"/>
        <w:ind w:firstLine="640" w:firstLineChars="200"/>
        <w:jc w:val="left"/>
        <w:rPr>
          <w:rFonts w:ascii="仿宋_GB2312" w:eastAsia="仿宋_GB2312" w:cs="宋体"/>
          <w:sz w:val="32"/>
          <w:szCs w:val="32"/>
          <w:highlight w:val="none"/>
        </w:rPr>
      </w:pPr>
    </w:p>
    <w:p w14:paraId="37505DEF">
      <w:pPr>
        <w:widowControl/>
        <w:spacing w:line="600" w:lineRule="exact"/>
        <w:ind w:firstLine="640" w:firstLineChars="200"/>
        <w:jc w:val="left"/>
        <w:rPr>
          <w:rFonts w:ascii="仿宋_GB2312" w:eastAsia="仿宋_GB2312" w:cs="宋体"/>
          <w:sz w:val="32"/>
          <w:szCs w:val="32"/>
          <w:highlight w:val="none"/>
        </w:rPr>
      </w:pPr>
    </w:p>
    <w:p w14:paraId="1211B99D">
      <w:pPr>
        <w:widowControl/>
        <w:wordWrap w:val="0"/>
        <w:spacing w:line="240" w:lineRule="auto"/>
        <w:ind w:firstLine="640" w:firstLineChars="200"/>
        <w:jc w:val="center"/>
        <w:outlineLvl w:val="0"/>
        <w:rPr>
          <w:rFonts w:ascii="仿宋_GB2312" w:hAnsi="仿宋" w:eastAsia="仿宋_GB2312" w:cs="宋体"/>
          <w:sz w:val="32"/>
          <w:szCs w:val="32"/>
          <w:highlight w:val="none"/>
        </w:rPr>
      </w:pPr>
      <w:r>
        <w:rPr>
          <w:rFonts w:hint="eastAsia" w:ascii="仿宋_GB2312" w:hAnsi="仿宋" w:eastAsia="仿宋_GB2312" w:cs="宋体"/>
          <w:sz w:val="32"/>
          <w:szCs w:val="32"/>
          <w:highlight w:val="none"/>
          <w:lang w:val="en-US" w:eastAsia="zh-CN"/>
        </w:rPr>
        <w:t xml:space="preserve">                            </w:t>
      </w:r>
      <w:r>
        <w:rPr>
          <w:rFonts w:hint="eastAsia" w:ascii="仿宋_GB2312" w:hAnsi="仿宋" w:eastAsia="仿宋_GB2312" w:cs="宋体"/>
          <w:sz w:val="32"/>
          <w:szCs w:val="32"/>
          <w:highlight w:val="none"/>
        </w:rPr>
        <w:t xml:space="preserve">滕州市医疗保障局 </w:t>
      </w:r>
    </w:p>
    <w:p w14:paraId="4B54315E">
      <w:pPr>
        <w:widowControl/>
        <w:wordWrap w:val="0"/>
        <w:spacing w:line="600" w:lineRule="exact"/>
        <w:ind w:firstLine="640" w:firstLineChars="200"/>
        <w:jc w:val="center"/>
        <w:outlineLvl w:val="0"/>
        <w:rPr>
          <w:rFonts w:hint="eastAsia" w:ascii="仿宋_GB2312" w:hAnsi="仿宋" w:eastAsia="仿宋_GB2312" w:cs="宋体"/>
          <w:sz w:val="32"/>
          <w:szCs w:val="32"/>
          <w:highlight w:val="none"/>
        </w:rPr>
      </w:pPr>
      <w:r>
        <w:rPr>
          <w:rFonts w:hint="eastAsia" w:ascii="仿宋_GB2312" w:eastAsia="仿宋_GB2312" w:cs="宋体"/>
          <w:sz w:val="32"/>
          <w:szCs w:val="32"/>
          <w:highlight w:val="none"/>
          <w:lang w:val="en-US" w:eastAsia="zh-CN"/>
        </w:rPr>
        <w:t xml:space="preserve">                             </w:t>
      </w:r>
      <w:r>
        <w:rPr>
          <w:rFonts w:hint="eastAsia" w:ascii="仿宋_GB2312" w:eastAsia="仿宋_GB2312" w:cs="宋体"/>
          <w:sz w:val="32"/>
          <w:szCs w:val="32"/>
          <w:highlight w:val="none"/>
        </w:rPr>
        <w:t>202</w:t>
      </w:r>
      <w:r>
        <w:rPr>
          <w:rFonts w:hint="eastAsia" w:ascii="仿宋_GB2312" w:eastAsia="仿宋_GB2312" w:cs="宋体"/>
          <w:sz w:val="32"/>
          <w:szCs w:val="32"/>
          <w:highlight w:val="none"/>
          <w:lang w:val="en-US" w:eastAsia="zh-CN"/>
        </w:rPr>
        <w:t>4</w:t>
      </w:r>
      <w:r>
        <w:rPr>
          <w:rFonts w:hint="eastAsia" w:ascii="仿宋_GB2312" w:hAnsi="仿宋" w:eastAsia="仿宋_GB2312" w:cs="宋体"/>
          <w:sz w:val="32"/>
          <w:szCs w:val="32"/>
          <w:highlight w:val="none"/>
        </w:rPr>
        <w:t>年</w:t>
      </w:r>
      <w:r>
        <w:rPr>
          <w:rFonts w:hint="eastAsia" w:ascii="仿宋_GB2312" w:hAnsi="仿宋" w:eastAsia="仿宋_GB2312" w:cs="宋体"/>
          <w:sz w:val="32"/>
          <w:szCs w:val="32"/>
          <w:highlight w:val="none"/>
          <w:lang w:val="en-US" w:eastAsia="zh-CN"/>
        </w:rPr>
        <w:t>4</w:t>
      </w:r>
      <w:r>
        <w:rPr>
          <w:rFonts w:hint="eastAsia" w:ascii="仿宋_GB2312" w:hAnsi="仿宋" w:eastAsia="仿宋_GB2312" w:cs="宋体"/>
          <w:sz w:val="32"/>
          <w:szCs w:val="32"/>
          <w:highlight w:val="none"/>
        </w:rPr>
        <w:t>月</w:t>
      </w:r>
      <w:r>
        <w:rPr>
          <w:rFonts w:hint="eastAsia" w:ascii="仿宋_GB2312" w:hAnsi="仿宋" w:eastAsia="仿宋_GB2312" w:cs="宋体"/>
          <w:sz w:val="32"/>
          <w:szCs w:val="32"/>
          <w:highlight w:val="none"/>
          <w:lang w:val="en-US" w:eastAsia="zh-CN"/>
        </w:rPr>
        <w:t>23</w:t>
      </w:r>
      <w:r>
        <w:rPr>
          <w:rFonts w:hint="eastAsia" w:ascii="仿宋_GB2312" w:hAnsi="仿宋" w:eastAsia="仿宋_GB2312" w:cs="宋体"/>
          <w:sz w:val="32"/>
          <w:szCs w:val="32"/>
          <w:highlight w:val="none"/>
        </w:rPr>
        <w:t xml:space="preserve">日  </w:t>
      </w:r>
    </w:p>
    <w:p w14:paraId="459BA668">
      <w:pPr>
        <w:rPr>
          <w:rFonts w:hint="eastAsia" w:ascii="仿宋_GB2312" w:hAnsi="仿宋" w:eastAsia="仿宋_GB2312" w:cs="宋体"/>
          <w:sz w:val="32"/>
          <w:szCs w:val="32"/>
          <w:highlight w:val="none"/>
        </w:rPr>
      </w:pPr>
      <w:r>
        <w:rPr>
          <w:rFonts w:hint="eastAsia" w:ascii="仿宋_GB2312" w:hAnsi="仿宋" w:eastAsia="仿宋_GB2312" w:cs="宋体"/>
          <w:sz w:val="32"/>
          <w:szCs w:val="32"/>
          <w:highlight w:val="none"/>
        </w:rPr>
        <w:br w:type="page"/>
      </w:r>
    </w:p>
    <w:p w14:paraId="6547722E">
      <w:pPr>
        <w:pStyle w:val="3"/>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600" w:lineRule="exact"/>
        <w:ind w:right="0"/>
        <w:jc w:val="center"/>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2024年滕州市医疗保障干部教育</w:t>
      </w:r>
      <w:r>
        <w:rPr>
          <w:rFonts w:hint="eastAsia" w:ascii="方正小标宋简体" w:hAnsi="方正小标宋简体" w:eastAsia="方正小标宋简体" w:cs="方正小标宋简体"/>
          <w:sz w:val="44"/>
          <w:szCs w:val="44"/>
        </w:rPr>
        <w:t>培训</w:t>
      </w:r>
      <w:r>
        <w:rPr>
          <w:rFonts w:hint="eastAsia" w:ascii="方正小标宋简体" w:hAnsi="方正小标宋简体" w:eastAsia="方正小标宋简体" w:cs="方正小标宋简体"/>
          <w:sz w:val="44"/>
          <w:szCs w:val="44"/>
          <w:lang w:val="en-US" w:eastAsia="zh-CN"/>
        </w:rPr>
        <w:t>方案</w:t>
      </w:r>
    </w:p>
    <w:p w14:paraId="44DFC82A">
      <w:pPr>
        <w:pStyle w:val="3"/>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600" w:lineRule="exact"/>
        <w:ind w:left="0" w:right="0" w:firstLine="430"/>
        <w:jc w:val="left"/>
        <w:rPr>
          <w:rFonts w:hint="eastAsia" w:ascii="仿宋_GB2312" w:hAnsi="仿宋_GB2312" w:eastAsia="仿宋_GB2312" w:cs="仿宋_GB2312"/>
          <w:sz w:val="32"/>
          <w:szCs w:val="32"/>
          <w:lang w:val="en-US" w:eastAsia="zh-CN"/>
        </w:rPr>
      </w:pPr>
    </w:p>
    <w:p w14:paraId="3CCAF79F">
      <w:pPr>
        <w:pStyle w:val="3"/>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600" w:lineRule="exact"/>
        <w:ind w:right="0" w:firstLine="640" w:firstLineChars="200"/>
        <w:jc w:val="lef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为常态化推进医保系统干部思想能力作风建设，不断提升全系统干部职工理论素养、政治素质和岗位技能，切实增强全市医保干部队伍工作能力和服务水平，根据省市医保局工作要求，结合滕州实际，制定如下方案。</w:t>
      </w:r>
    </w:p>
    <w:p w14:paraId="3D7166F7">
      <w:pPr>
        <w:pStyle w:val="3"/>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600" w:lineRule="exact"/>
        <w:ind w:right="0" w:firstLine="640" w:firstLineChars="200"/>
        <w:jc w:val="left"/>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一、指导思想</w:t>
      </w:r>
    </w:p>
    <w:p w14:paraId="4F023E8E">
      <w:pPr>
        <w:pStyle w:val="3"/>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600" w:lineRule="exact"/>
        <w:ind w:right="0" w:firstLine="640" w:firstLineChars="200"/>
        <w:jc w:val="lef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以习近平新时代中国特色社会主义思想为指导，全面贯彻落实党的二十大精神以及习近平总书记对医保工作的重要指示批示精神，落实“第一议题”制度和省市局“规范落实年行动”工作要求，以提升服务能力为中心，以提升干部专业水平为主线，以岗位应知应会、业务技能和素质提升为重点，通过“线上+线下”干部教育学习培训，进一步凝聚医保干部职工奋进力量，切实锻造高素质专业化的干部队伍，奋力开创医疗保障事业高质量发展新局面。 </w:t>
      </w:r>
    </w:p>
    <w:p w14:paraId="72E4F1AC">
      <w:pPr>
        <w:pStyle w:val="3"/>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600" w:lineRule="exact"/>
        <w:ind w:right="0" w:firstLine="640" w:firstLineChars="200"/>
        <w:jc w:val="left"/>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二、任务目标</w:t>
      </w:r>
    </w:p>
    <w:p w14:paraId="1F7506C4">
      <w:pPr>
        <w:pStyle w:val="3"/>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600" w:lineRule="exact"/>
        <w:ind w:right="0" w:firstLine="640" w:firstLineChars="200"/>
        <w:jc w:val="left"/>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坚持问题导向，增强干部素质培养的系统性、持续性、针对性、有效性，着力解决干部队伍和业务管理中的突出问题，建立健全长效机制，推进规范管理、高效运转。坚持深入实践，压紧压实工作责任，强化思想政治学习和业务培训，理论联系实际，多做多练，进一步提升化解矛盾、解决问题、推动工作能力和水平。</w:t>
      </w:r>
    </w:p>
    <w:p w14:paraId="1FD47D04">
      <w:pPr>
        <w:pStyle w:val="3"/>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600" w:lineRule="exact"/>
        <w:ind w:right="0" w:firstLine="640" w:firstLineChars="200"/>
        <w:jc w:val="left"/>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三、培训内容</w:t>
      </w:r>
    </w:p>
    <w:p w14:paraId="589070B9">
      <w:pPr>
        <w:pStyle w:val="3"/>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600" w:lineRule="exact"/>
        <w:ind w:right="0" w:firstLine="640" w:firstLineChars="200"/>
        <w:jc w:val="lef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加强对党的路线方针、医保基金征缴、支付方式改革、医药价格集采、医保基金监管稽核、待遇政策调整优化、特殊人群医保政策、公务员医疗补助、异地结算报销服务、医保经办管理、医疗保障系统行风建设等方面的培训学习，提高工作人员政策运用和业务能力，不断增强服务水平。</w:t>
      </w:r>
    </w:p>
    <w:p w14:paraId="6CA9DECE">
      <w:pPr>
        <w:pStyle w:val="3"/>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600" w:lineRule="exact"/>
        <w:ind w:right="0" w:firstLine="640" w:firstLineChars="200"/>
        <w:jc w:val="left"/>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四、培训安排</w:t>
      </w:r>
    </w:p>
    <w:p w14:paraId="22B26C01">
      <w:pPr>
        <w:pStyle w:val="3"/>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600" w:lineRule="exact"/>
        <w:ind w:right="0" w:firstLine="640" w:firstLineChars="200"/>
        <w:jc w:val="left"/>
        <w:rPr>
          <w:rFonts w:hint="eastAsia"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采取</w:t>
      </w:r>
      <w:r>
        <w:rPr>
          <w:rFonts w:hint="eastAsia" w:ascii="仿宋_GB2312" w:hAnsi="仿宋_GB2312" w:eastAsia="仿宋_GB2312" w:cs="仿宋_GB2312"/>
          <w:sz w:val="32"/>
          <w:szCs w:val="32"/>
          <w:lang w:val="en-US" w:eastAsia="zh-CN"/>
        </w:rPr>
        <w:t>“线上+线下”“</w:t>
      </w:r>
      <w:r>
        <w:rPr>
          <w:rFonts w:hint="default" w:ascii="仿宋_GB2312" w:hAnsi="仿宋_GB2312" w:eastAsia="仿宋_GB2312" w:cs="仿宋_GB2312"/>
          <w:sz w:val="32"/>
          <w:szCs w:val="32"/>
          <w:lang w:val="en-US" w:eastAsia="zh-CN"/>
        </w:rPr>
        <w:t>集中培训</w:t>
      </w:r>
      <w:r>
        <w:rPr>
          <w:rFonts w:hint="eastAsia" w:ascii="仿宋_GB2312" w:hAnsi="仿宋_GB2312" w:eastAsia="仿宋_GB2312" w:cs="仿宋_GB2312"/>
          <w:sz w:val="32"/>
          <w:szCs w:val="32"/>
          <w:lang w:val="en-US" w:eastAsia="zh-CN"/>
        </w:rPr>
        <w:t>+</w:t>
      </w:r>
      <w:r>
        <w:rPr>
          <w:rFonts w:hint="default" w:ascii="仿宋_GB2312" w:hAnsi="仿宋_GB2312" w:eastAsia="仿宋_GB2312" w:cs="仿宋_GB2312"/>
          <w:sz w:val="32"/>
          <w:szCs w:val="32"/>
          <w:lang w:val="en-US" w:eastAsia="zh-CN"/>
        </w:rPr>
        <w:t>个人自学</w:t>
      </w:r>
      <w:r>
        <w:rPr>
          <w:rFonts w:hint="eastAsia" w:ascii="仿宋_GB2312" w:hAnsi="仿宋_GB2312" w:eastAsia="仿宋_GB2312" w:cs="仿宋_GB2312"/>
          <w:sz w:val="32"/>
          <w:szCs w:val="32"/>
          <w:lang w:val="en-US" w:eastAsia="zh-CN"/>
        </w:rPr>
        <w:t>”</w:t>
      </w:r>
      <w:r>
        <w:rPr>
          <w:rFonts w:hint="default" w:ascii="仿宋_GB2312" w:hAnsi="仿宋_GB2312" w:eastAsia="仿宋_GB2312" w:cs="仿宋_GB2312"/>
          <w:sz w:val="32"/>
          <w:szCs w:val="32"/>
          <w:lang w:val="en-US" w:eastAsia="zh-CN"/>
        </w:rPr>
        <w:t>相结合的方式，坚持全员参与</w:t>
      </w:r>
      <w:r>
        <w:rPr>
          <w:rFonts w:hint="eastAsia" w:ascii="仿宋_GB2312" w:hAnsi="仿宋_GB2312" w:eastAsia="仿宋_GB2312" w:cs="仿宋_GB2312"/>
          <w:sz w:val="32"/>
          <w:szCs w:val="32"/>
          <w:lang w:val="en-US" w:eastAsia="zh-CN"/>
        </w:rPr>
        <w:t>。</w:t>
      </w:r>
    </w:p>
    <w:p w14:paraId="7C65AB92">
      <w:pPr>
        <w:pStyle w:val="3"/>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600" w:lineRule="exact"/>
        <w:ind w:right="0" w:firstLine="640" w:firstLineChars="200"/>
        <w:jc w:val="left"/>
        <w:rPr>
          <w:rFonts w:hint="eastAsia" w:ascii="仿宋_GB2312" w:hAnsi="仿宋_GB2312" w:eastAsia="仿宋_GB2312" w:cs="仿宋_GB2312"/>
          <w:sz w:val="32"/>
          <w:szCs w:val="32"/>
          <w:lang w:val="en-US" w:eastAsia="zh-CN"/>
        </w:rPr>
      </w:pPr>
      <w:r>
        <w:rPr>
          <w:rFonts w:hint="eastAsia" w:ascii="楷体_GB2312" w:hAnsi="楷体_GB2312" w:eastAsia="楷体_GB2312" w:cs="楷体_GB2312"/>
          <w:sz w:val="32"/>
          <w:szCs w:val="32"/>
          <w:lang w:val="en-US" w:eastAsia="zh-CN"/>
        </w:rPr>
        <w:t>（一）坚持第一议题及时学。</w:t>
      </w:r>
      <w:r>
        <w:rPr>
          <w:rFonts w:hint="eastAsia" w:ascii="仿宋_GB2312" w:hAnsi="仿宋_GB2312" w:eastAsia="仿宋_GB2312" w:cs="仿宋_GB2312"/>
          <w:sz w:val="32"/>
          <w:szCs w:val="32"/>
          <w:lang w:val="en-US" w:eastAsia="zh-CN"/>
        </w:rPr>
        <w:t>聚焦</w:t>
      </w:r>
      <w:r>
        <w:rPr>
          <w:rFonts w:hint="default" w:ascii="仿宋_GB2312" w:hAnsi="仿宋_GB2312" w:eastAsia="仿宋_GB2312" w:cs="仿宋_GB2312"/>
          <w:sz w:val="32"/>
          <w:szCs w:val="32"/>
          <w:lang w:val="en-US" w:eastAsia="zh-CN"/>
        </w:rPr>
        <w:t>习近平总书记最新发表的重要讲话、重要论述、重要文章和作出的重要指示批示精神，以及党中央召开的重要会议、重要文件、重大决策部署等内容</w:t>
      </w:r>
      <w:r>
        <w:rPr>
          <w:rFonts w:hint="eastAsia" w:ascii="仿宋_GB2312" w:hAnsi="仿宋_GB2312" w:eastAsia="仿宋_GB2312" w:cs="仿宋_GB2312"/>
          <w:sz w:val="32"/>
          <w:szCs w:val="32"/>
          <w:lang w:val="en-US" w:eastAsia="zh-CN"/>
        </w:rPr>
        <w:t>，在各类党组织会议中第一时间学、及时跟进学。</w:t>
      </w:r>
    </w:p>
    <w:p w14:paraId="793272A9">
      <w:pPr>
        <w:pStyle w:val="3"/>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600" w:lineRule="exact"/>
        <w:ind w:right="0" w:firstLine="640" w:firstLineChars="200"/>
        <w:jc w:val="left"/>
        <w:rPr>
          <w:rFonts w:hint="default" w:ascii="仿宋_GB2312" w:hAnsi="仿宋_GB2312" w:eastAsia="仿宋_GB2312" w:cs="仿宋_GB2312"/>
          <w:sz w:val="32"/>
          <w:szCs w:val="32"/>
          <w:lang w:val="en-US" w:eastAsia="zh-CN"/>
        </w:rPr>
      </w:pPr>
      <w:r>
        <w:rPr>
          <w:rFonts w:hint="eastAsia" w:ascii="楷体_GB2312" w:hAnsi="楷体_GB2312" w:eastAsia="楷体_GB2312" w:cs="楷体_GB2312"/>
          <w:sz w:val="32"/>
          <w:szCs w:val="32"/>
          <w:lang w:val="en-US" w:eastAsia="zh-CN"/>
        </w:rPr>
        <w:t>（二）坚持重点工作集中学。</w:t>
      </w:r>
      <w:r>
        <w:rPr>
          <w:rFonts w:hint="eastAsia" w:ascii="仿宋_GB2312" w:hAnsi="仿宋_GB2312" w:eastAsia="仿宋_GB2312" w:cs="仿宋_GB2312"/>
          <w:sz w:val="32"/>
          <w:szCs w:val="32"/>
          <w:lang w:val="en-US" w:eastAsia="zh-CN"/>
        </w:rPr>
        <w:t>聚焦国家、省市医疗保障重点工作任务、重大政策变化、重要工作部署，机关各科室、中心定期组织集中学习，按季度报局办公室汇总。</w:t>
      </w:r>
    </w:p>
    <w:p w14:paraId="483F48FB">
      <w:pPr>
        <w:pStyle w:val="3"/>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600" w:lineRule="exact"/>
        <w:ind w:right="0" w:firstLine="640" w:firstLineChars="200"/>
        <w:jc w:val="left"/>
        <w:rPr>
          <w:rFonts w:hint="default"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（三）坚持日常业务常态学。</w:t>
      </w:r>
      <w:r>
        <w:rPr>
          <w:rFonts w:hint="eastAsia" w:ascii="仿宋_GB2312" w:hAnsi="仿宋_GB2312" w:eastAsia="仿宋_GB2312" w:cs="仿宋_GB2312"/>
          <w:sz w:val="32"/>
          <w:szCs w:val="32"/>
          <w:lang w:val="en-US" w:eastAsia="zh-CN"/>
        </w:rPr>
        <w:t>聚焦做好本职工作所需的新知识、新技能，局及中心各科室自行组织相关人员进行业务学习，交流互动，对业务学习过程中的难点、重点问题展开提问和讨论。</w:t>
      </w:r>
    </w:p>
    <w:p w14:paraId="0591F16A">
      <w:pPr>
        <w:pStyle w:val="3"/>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600" w:lineRule="exact"/>
        <w:ind w:right="0" w:firstLine="640" w:firstLineChars="200"/>
        <w:jc w:val="left"/>
        <w:rPr>
          <w:rFonts w:hint="default"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（四）坚持提质增效践行学。</w:t>
      </w:r>
      <w:r>
        <w:rPr>
          <w:rFonts w:hint="eastAsia" w:ascii="仿宋_GB2312" w:hAnsi="仿宋_GB2312" w:eastAsia="仿宋_GB2312" w:cs="仿宋_GB2312"/>
          <w:sz w:val="32"/>
          <w:szCs w:val="32"/>
          <w:lang w:val="en-US" w:eastAsia="zh-CN"/>
        </w:rPr>
        <w:t>聚焦创新试点、效能提升，树立创先争优意识，主动对标对表先进地区，引进吸收先进理念、典型做法，解决制约医保发展的瓶颈和难题，促进医疗保障事业高质量发展。</w:t>
      </w:r>
    </w:p>
    <w:p w14:paraId="1721A6FB">
      <w:pPr>
        <w:pStyle w:val="3"/>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600" w:lineRule="exact"/>
        <w:ind w:right="0" w:firstLine="640" w:firstLineChars="200"/>
        <w:jc w:val="left"/>
        <w:rPr>
          <w:rFonts w:hint="default" w:ascii="黑体" w:hAnsi="黑体" w:eastAsia="黑体" w:cs="黑体"/>
          <w:sz w:val="32"/>
          <w:szCs w:val="32"/>
          <w:lang w:val="en-US" w:eastAsia="zh-CN"/>
        </w:rPr>
      </w:pPr>
      <w:r>
        <w:rPr>
          <w:rFonts w:hint="eastAsia" w:ascii="黑体" w:hAnsi="黑体" w:eastAsia="黑体" w:cs="黑体"/>
          <w:sz w:val="32"/>
          <w:szCs w:val="32"/>
          <w:lang w:val="en-US" w:eastAsia="zh-CN"/>
        </w:rPr>
        <w:t>五、保障措施</w:t>
      </w:r>
    </w:p>
    <w:p w14:paraId="792371EC">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rPr>
      </w:pPr>
      <w:r>
        <w:rPr>
          <w:rFonts w:hint="eastAsia" w:ascii="楷体_GB2312" w:hAnsi="楷体_GB2312" w:eastAsia="楷体_GB2312" w:cs="楷体_GB2312"/>
          <w:b w:val="0"/>
          <w:bCs w:val="0"/>
          <w:sz w:val="32"/>
          <w:szCs w:val="32"/>
          <w:lang w:eastAsia="zh-CN"/>
        </w:rPr>
        <w:t>（一）加强领导，高度重视。</w:t>
      </w:r>
      <w:r>
        <w:rPr>
          <w:rFonts w:hint="eastAsia" w:ascii="仿宋_GB2312" w:hAnsi="仿宋_GB2312" w:eastAsia="仿宋_GB2312" w:cs="仿宋_GB2312"/>
          <w:sz w:val="32"/>
          <w:szCs w:val="32"/>
        </w:rPr>
        <w:t>干部教育培训是全面加强干部队伍整体素质、切实转变作风的重要举措</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全系统干部职工</w:t>
      </w:r>
      <w:r>
        <w:rPr>
          <w:rFonts w:hint="eastAsia" w:ascii="仿宋_GB2312" w:hAnsi="仿宋_GB2312" w:eastAsia="仿宋_GB2312" w:cs="仿宋_GB2312"/>
          <w:sz w:val="32"/>
          <w:szCs w:val="32"/>
        </w:rPr>
        <w:t>要高度重视，</w:t>
      </w:r>
      <w:r>
        <w:rPr>
          <w:rFonts w:hint="eastAsia" w:ascii="仿宋_GB2312" w:hAnsi="仿宋_GB2312" w:eastAsia="仿宋_GB2312" w:cs="仿宋_GB2312"/>
          <w:sz w:val="32"/>
          <w:szCs w:val="32"/>
          <w:lang w:eastAsia="zh-CN"/>
        </w:rPr>
        <w:t>局办公室</w:t>
      </w:r>
      <w:r>
        <w:rPr>
          <w:rFonts w:hint="eastAsia" w:ascii="仿宋_GB2312" w:hAnsi="仿宋_GB2312" w:eastAsia="仿宋_GB2312" w:cs="仿宋_GB2312"/>
          <w:sz w:val="32"/>
          <w:szCs w:val="32"/>
          <w:lang w:val="en-US" w:eastAsia="zh-CN"/>
        </w:rPr>
        <w:t>负责</w:t>
      </w:r>
      <w:r>
        <w:rPr>
          <w:rFonts w:hint="eastAsia" w:ascii="仿宋_GB2312" w:hAnsi="仿宋_GB2312" w:eastAsia="仿宋_GB2312" w:cs="仿宋_GB2312"/>
          <w:sz w:val="32"/>
          <w:szCs w:val="32"/>
        </w:rPr>
        <w:t>牵头</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深入</w:t>
      </w:r>
      <w:r>
        <w:rPr>
          <w:rFonts w:hint="eastAsia" w:ascii="仿宋_GB2312" w:hAnsi="仿宋_GB2312" w:eastAsia="仿宋_GB2312" w:cs="仿宋_GB2312"/>
          <w:sz w:val="32"/>
          <w:szCs w:val="32"/>
          <w:lang w:eastAsia="zh-CN"/>
        </w:rPr>
        <w:t>研究</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统筹推进工作开展</w:t>
      </w:r>
      <w:r>
        <w:rPr>
          <w:rFonts w:hint="eastAsia" w:ascii="仿宋_GB2312" w:hAnsi="仿宋_GB2312" w:eastAsia="仿宋_GB2312" w:cs="仿宋_GB2312"/>
          <w:sz w:val="32"/>
          <w:szCs w:val="32"/>
        </w:rPr>
        <w:t>，确保达到预期效果。</w:t>
      </w:r>
    </w:p>
    <w:p w14:paraId="4609B393">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rPr>
      </w:pPr>
      <w:r>
        <w:rPr>
          <w:rFonts w:hint="eastAsia" w:ascii="楷体_GB2312" w:hAnsi="楷体_GB2312" w:eastAsia="楷体_GB2312" w:cs="楷体_GB2312"/>
          <w:b w:val="0"/>
          <w:bCs w:val="0"/>
          <w:sz w:val="32"/>
          <w:szCs w:val="32"/>
          <w:lang w:eastAsia="zh-CN"/>
        </w:rPr>
        <w:t>（二）精心筹备，确保效果。</w:t>
      </w:r>
      <w:r>
        <w:rPr>
          <w:rFonts w:hint="eastAsia" w:ascii="仿宋_GB2312" w:hAnsi="仿宋_GB2312" w:eastAsia="仿宋_GB2312" w:cs="仿宋_GB2312"/>
          <w:sz w:val="32"/>
          <w:szCs w:val="32"/>
        </w:rPr>
        <w:t>坚持理论与实践相结合，立足于知晓政策、明白政策、宣传政策，全面提升医保政策社会知晓率。将干部教育培训与</w:t>
      </w:r>
      <w:r>
        <w:rPr>
          <w:rFonts w:hint="eastAsia" w:ascii="仿宋_GB2312" w:hAnsi="仿宋_GB2312" w:eastAsia="仿宋_GB2312" w:cs="仿宋_GB2312"/>
          <w:sz w:val="32"/>
          <w:szCs w:val="32"/>
          <w:lang w:val="en-US" w:eastAsia="zh-CN"/>
        </w:rPr>
        <w:t>日常工作相</w:t>
      </w:r>
      <w:r>
        <w:rPr>
          <w:rFonts w:hint="eastAsia" w:ascii="仿宋_GB2312" w:hAnsi="仿宋_GB2312" w:eastAsia="仿宋_GB2312" w:cs="仿宋_GB2312"/>
          <w:sz w:val="32"/>
          <w:szCs w:val="32"/>
        </w:rPr>
        <w:t>结合，全面提升医保经办服务效率，提升</w:t>
      </w:r>
      <w:r>
        <w:rPr>
          <w:rFonts w:hint="eastAsia" w:ascii="仿宋_GB2312" w:hAnsi="仿宋_GB2312" w:eastAsia="仿宋_GB2312" w:cs="仿宋_GB2312"/>
          <w:sz w:val="32"/>
          <w:szCs w:val="32"/>
          <w:lang w:val="en-US" w:eastAsia="zh-CN"/>
        </w:rPr>
        <w:t>监管</w:t>
      </w:r>
      <w:r>
        <w:rPr>
          <w:rFonts w:hint="eastAsia" w:ascii="仿宋_GB2312" w:hAnsi="仿宋_GB2312" w:eastAsia="仿宋_GB2312" w:cs="仿宋_GB2312"/>
          <w:sz w:val="32"/>
          <w:szCs w:val="32"/>
        </w:rPr>
        <w:t>服务</w:t>
      </w:r>
      <w:r>
        <w:rPr>
          <w:rFonts w:hint="eastAsia" w:ascii="仿宋_GB2312" w:hAnsi="仿宋_GB2312" w:eastAsia="仿宋_GB2312" w:cs="仿宋_GB2312"/>
          <w:sz w:val="32"/>
          <w:szCs w:val="32"/>
          <w:lang w:val="en-US" w:eastAsia="zh-CN"/>
        </w:rPr>
        <w:t>水平</w:t>
      </w:r>
      <w:r>
        <w:rPr>
          <w:rFonts w:hint="eastAsia" w:ascii="仿宋_GB2312" w:hAnsi="仿宋_GB2312" w:eastAsia="仿宋_GB2312" w:cs="仿宋_GB2312"/>
          <w:sz w:val="32"/>
          <w:szCs w:val="32"/>
        </w:rPr>
        <w:t>。</w:t>
      </w:r>
    </w:p>
    <w:p w14:paraId="6C03CFCC">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楷体_GB2312" w:hAnsi="楷体_GB2312" w:eastAsia="楷体_GB2312" w:cs="楷体_GB2312"/>
          <w:b/>
          <w:bCs/>
          <w:sz w:val="32"/>
          <w:szCs w:val="32"/>
        </w:rPr>
      </w:pPr>
      <w:r>
        <w:rPr>
          <w:rFonts w:hint="eastAsia" w:ascii="楷体_GB2312" w:hAnsi="楷体_GB2312" w:eastAsia="楷体_GB2312" w:cs="楷体_GB2312"/>
          <w:b w:val="0"/>
          <w:bCs w:val="0"/>
          <w:sz w:val="32"/>
          <w:szCs w:val="32"/>
          <w:lang w:eastAsia="zh-CN"/>
        </w:rPr>
        <w:t>（三）强化纪律，务实作风。</w:t>
      </w:r>
      <w:r>
        <w:rPr>
          <w:rFonts w:hint="eastAsia" w:ascii="仿宋_GB2312" w:hAnsi="仿宋_GB2312" w:eastAsia="仿宋_GB2312" w:cs="仿宋_GB2312"/>
          <w:sz w:val="32"/>
          <w:szCs w:val="32"/>
          <w:lang w:val="en-US" w:eastAsia="zh-CN"/>
        </w:rPr>
        <w:t>要加强活动</w:t>
      </w:r>
      <w:r>
        <w:rPr>
          <w:rFonts w:hint="eastAsia" w:ascii="仿宋_GB2312" w:hAnsi="仿宋_GB2312" w:eastAsia="仿宋_GB2312" w:cs="仿宋_GB2312"/>
          <w:sz w:val="32"/>
          <w:szCs w:val="32"/>
        </w:rPr>
        <w:t>组织、指导、协调、</w:t>
      </w:r>
      <w:r>
        <w:rPr>
          <w:rFonts w:hint="eastAsia" w:ascii="仿宋_GB2312" w:hAnsi="仿宋_GB2312" w:eastAsia="仿宋_GB2312" w:cs="仿宋_GB2312"/>
          <w:sz w:val="32"/>
          <w:szCs w:val="32"/>
          <w:lang w:val="en-US" w:eastAsia="zh-CN"/>
        </w:rPr>
        <w:t>督导</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将干部教育培训成效</w:t>
      </w:r>
      <w:r>
        <w:rPr>
          <w:rFonts w:hint="eastAsia" w:ascii="仿宋_GB2312" w:hAnsi="仿宋_GB2312" w:eastAsia="仿宋_GB2312" w:cs="仿宋_GB2312"/>
          <w:sz w:val="32"/>
          <w:szCs w:val="32"/>
        </w:rPr>
        <w:t>作为干部选拔任用、评优评先的重要依据</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定期检验工作成果，适时开展综合测评；要开展督导考核，对</w:t>
      </w:r>
      <w:r>
        <w:rPr>
          <w:rFonts w:hint="eastAsia" w:ascii="仿宋_GB2312" w:hAnsi="仿宋_GB2312" w:eastAsia="仿宋_GB2312" w:cs="仿宋_GB2312"/>
          <w:sz w:val="32"/>
          <w:szCs w:val="32"/>
        </w:rPr>
        <w:t>不遵守培训纪律</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未完成培训要求</w:t>
      </w:r>
      <w:r>
        <w:rPr>
          <w:rFonts w:hint="eastAsia" w:ascii="仿宋_GB2312" w:hAnsi="仿宋_GB2312" w:eastAsia="仿宋_GB2312" w:cs="仿宋_GB2312"/>
          <w:sz w:val="32"/>
          <w:szCs w:val="32"/>
        </w:rPr>
        <w:t>的，</w:t>
      </w:r>
      <w:r>
        <w:rPr>
          <w:rFonts w:hint="eastAsia" w:ascii="仿宋_GB2312" w:hAnsi="仿宋_GB2312" w:eastAsia="仿宋_GB2312" w:cs="仿宋_GB2312"/>
          <w:sz w:val="32"/>
          <w:szCs w:val="32"/>
          <w:lang w:val="en-US" w:eastAsia="zh-CN"/>
        </w:rPr>
        <w:t>予以通报批评、约谈提醒，确保活动取得实效</w:t>
      </w:r>
      <w:r>
        <w:rPr>
          <w:rFonts w:hint="eastAsia" w:ascii="仿宋_GB2312" w:hAnsi="仿宋_GB2312" w:eastAsia="仿宋_GB2312" w:cs="仿宋_GB2312"/>
          <w:sz w:val="32"/>
          <w:szCs w:val="32"/>
        </w:rPr>
        <w:t>。</w:t>
      </w:r>
    </w:p>
    <w:p w14:paraId="13A5D015"/>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5B" w:usb2="00000009" w:usb3="00000000" w:csb0="400001FF" w:csb1="FFFF0000"/>
  </w:font>
  <w:font w:name="宋体">
    <w:panose1 w:val="02010600030101010101"/>
    <w:charset w:val="4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liNTIxOGE2OGMwZjM0N2E2Y2IwOGU4N2E0OTE0ODkifQ=="/>
  </w:docVars>
  <w:rsids>
    <w:rsidRoot w:val="06786105"/>
    <w:rsid w:val="0678610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Body Text"/>
    <w:basedOn w:val="1"/>
    <w:qFormat/>
    <w:uiPriority w:val="99"/>
    <w:pPr>
      <w:spacing w:after="120"/>
    </w:pPr>
    <w:rPr>
      <w:szCs w:val="21"/>
    </w:rPr>
  </w:style>
  <w:style w:type="paragraph" w:styleId="3">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0</TotalTime>
  <ScaleCrop>false</ScaleCrop>
  <LinksUpToDate>false</LinksUpToDate>
  <CharactersWithSpaces>0</CharactersWithSpaces>
  <Application>WPS Office_12.1.0.18276_F1E327BC-269C-435d-A152-05C5408002CA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2024-09-25T08:34:00Z</dcterms:created>
  <dc:creator>admin</dc:creator>
  <cp:lastModifiedBy>admin</cp:lastModifiedBy>
  <dcterms:modified xsi:type="dcterms:W3CDTF">2024-09-25T08:34:41Z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3FECF0A728DE4DF7813F5B3483904C6B_11</vt:lpwstr>
  </property>
</Properties>
</file>